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lang w:val="en-GB"/>
        </w:rPr>
        <w:t>3GPP TSG-RAN WG2 Meeting #10</w:t>
      </w:r>
      <w:r>
        <w:rPr>
          <w:rFonts w:hint="eastAsia" w:ascii="Arial" w:hAnsi="Arial" w:cs="Arial"/>
          <w:b/>
          <w:bCs/>
          <w:snapToGrid w:val="0"/>
          <w:kern w:val="0"/>
          <w:sz w:val="24"/>
        </w:rPr>
        <w:t>2</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R2-18</w:t>
      </w:r>
      <w:r>
        <w:rPr>
          <w:rFonts w:ascii="Arial" w:hAnsi="Arial" w:cs="Arial"/>
          <w:b/>
          <w:bCs/>
          <w:snapToGrid w:val="0"/>
          <w:kern w:val="0"/>
          <w:sz w:val="24"/>
        </w:rPr>
        <w:t>0</w:t>
      </w:r>
      <w:r>
        <w:rPr>
          <w:rFonts w:hint="eastAsia" w:ascii="Arial" w:hAnsi="Arial" w:cs="Arial"/>
          <w:b/>
          <w:bCs/>
          <w:snapToGrid w:val="0"/>
          <w:kern w:val="0"/>
          <w:sz w:val="24"/>
        </w:rPr>
        <w:t>7431</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lang w:val="en-GB"/>
        </w:rPr>
        <w:t xml:space="preserve">Busan, Korea, 21st - 25th May 2018 </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Further clarification of the SFTD measurement in EN-DC</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10.4.2.2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The SFTD measurement related agreements have been incorporated in 36.331 </w:t>
      </w:r>
      <w:r>
        <w:rPr>
          <w:rFonts w:hint="eastAsia"/>
        </w:rPr>
        <w:fldChar w:fldCharType="begin"/>
      </w:r>
      <w:r>
        <w:rPr>
          <w:rFonts w:hint="eastAsia"/>
        </w:rPr>
        <w:instrText xml:space="preserve"> REF _Ref29090 \n \h </w:instrText>
      </w:r>
      <w:r>
        <w:rPr>
          <w:rFonts w:hint="eastAsia"/>
        </w:rPr>
        <w:fldChar w:fldCharType="separate"/>
      </w:r>
      <w:r>
        <w:rPr>
          <w:rFonts w:hint="eastAsia"/>
        </w:rPr>
        <w:t>[1]</w:t>
      </w:r>
      <w:r>
        <w:rPr>
          <w:rFonts w:hint="eastAsia"/>
        </w:rPr>
        <w:fldChar w:fldCharType="end"/>
      </w:r>
      <w:r>
        <w:rPr>
          <w:rFonts w:hint="eastAsia"/>
        </w:rPr>
        <w:t xml:space="preserve">. In EN-DC, the SFTD measurement target can be either the pSCell or up most 3 neighbor cells. And from the current description in 36.331, it seems that when the target is neighbour cell, the UE can only perform SFTD measurement on the neighbour cell(s) configured in the </w:t>
      </w:r>
      <w:r>
        <w:rPr>
          <w:rFonts w:hint="eastAsia"/>
          <w:i/>
          <w:iCs/>
        </w:rPr>
        <w:t>cellsForWhichToReportSFTD</w:t>
      </w:r>
      <w:r>
        <w:rPr>
          <w:rFonts w:hint="eastAsia"/>
        </w:rPr>
        <w:t xml:space="preserve">. However, according to the LS from RAN4 </w:t>
      </w:r>
      <w:r>
        <w:rPr>
          <w:rFonts w:hint="eastAsia"/>
        </w:rPr>
        <w:fldChar w:fldCharType="begin"/>
      </w:r>
      <w:r>
        <w:rPr>
          <w:rFonts w:hint="eastAsia"/>
        </w:rPr>
        <w:instrText xml:space="preserve"> REF _Ref32545 \n \h </w:instrText>
      </w:r>
      <w:r>
        <w:rPr>
          <w:rFonts w:hint="eastAsia"/>
        </w:rPr>
        <w:fldChar w:fldCharType="separate"/>
      </w:r>
      <w:r>
        <w:rPr>
          <w:rFonts w:hint="eastAsia"/>
        </w:rPr>
        <w:t>[2]</w:t>
      </w:r>
      <w:r>
        <w:rPr>
          <w:rFonts w:hint="eastAsia"/>
        </w:rPr>
        <w:fldChar w:fldCharType="end"/>
      </w:r>
      <w:r>
        <w:rPr>
          <w:rFonts w:hint="eastAsia"/>
        </w:rPr>
        <w:t xml:space="preserve">, our understanding is that the neighbour cell info can be optionally present. </w:t>
      </w:r>
    </w:p>
    <w:p>
      <w:r>
        <w:rPr>
          <w:rFonts w:hint="eastAsia"/>
        </w:rPr>
        <w:t xml:space="preserve">In this contribution, first, we try to clarify whether the </w:t>
      </w:r>
      <w:r>
        <w:rPr>
          <w:rFonts w:hint="eastAsia"/>
          <w:i/>
          <w:iCs/>
        </w:rPr>
        <w:t xml:space="preserve">cellsForWhichToReportSFTD </w:t>
      </w:r>
      <w:r>
        <w:rPr>
          <w:rFonts w:hint="eastAsia"/>
        </w:rPr>
        <w:t xml:space="preserve">can be absent when the the </w:t>
      </w:r>
      <w:bookmarkStart w:id="2" w:name="OLE_LINK1"/>
      <w:r>
        <w:rPr>
          <w:rFonts w:hint="eastAsia"/>
          <w:i/>
          <w:iCs/>
        </w:rPr>
        <w:t>reportSFTD-Meas</w:t>
      </w:r>
      <w:bookmarkEnd w:id="2"/>
      <w:r>
        <w:rPr>
          <w:rFonts w:hint="eastAsia"/>
        </w:rPr>
        <w:t xml:space="preserve"> is set to </w:t>
      </w:r>
      <w:r>
        <w:rPr>
          <w:rFonts w:hint="eastAsia"/>
          <w:i/>
          <w:iCs/>
        </w:rPr>
        <w:t>neighborCells</w:t>
      </w:r>
      <w:r>
        <w:rPr>
          <w:rFonts w:hint="eastAsia"/>
        </w:rPr>
        <w:t xml:space="preserve">. Second, if the the absent of the </w:t>
      </w:r>
      <w:r>
        <w:rPr>
          <w:rFonts w:hint="eastAsia"/>
          <w:i/>
          <w:iCs/>
        </w:rPr>
        <w:t xml:space="preserve">cellsForWhichToReportSFTD </w:t>
      </w:r>
      <w:r>
        <w:rPr>
          <w:rFonts w:hint="eastAsia"/>
        </w:rPr>
        <w:t xml:space="preserve">is allowed when the </w:t>
      </w:r>
      <w:r>
        <w:rPr>
          <w:rFonts w:hint="eastAsia"/>
          <w:i/>
          <w:iCs/>
        </w:rPr>
        <w:t>reportSFTD-Meas</w:t>
      </w:r>
      <w:r>
        <w:rPr>
          <w:rFonts w:hint="eastAsia"/>
        </w:rPr>
        <w:t xml:space="preserve"> is set to </w:t>
      </w:r>
      <w:r>
        <w:rPr>
          <w:rFonts w:hint="eastAsia"/>
          <w:i/>
          <w:iCs/>
        </w:rPr>
        <w:t>neighborCells</w:t>
      </w:r>
      <w:r>
        <w:rPr>
          <w:rFonts w:hint="eastAsia"/>
        </w:rPr>
        <w:t>, which neighbour cells should the UE choose to perform SFTD measurement.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 xml:space="preserve">If the the </w:t>
      </w:r>
      <w:r>
        <w:rPr>
          <w:rFonts w:hint="eastAsia"/>
          <w:i/>
          <w:iCs/>
        </w:rPr>
        <w:t>reportSFTD-Meas</w:t>
      </w:r>
      <w:r>
        <w:rPr>
          <w:rFonts w:hint="eastAsia"/>
        </w:rPr>
        <w:t xml:space="preserve"> is set to </w:t>
      </w:r>
      <w:r>
        <w:rPr>
          <w:rFonts w:hint="eastAsia"/>
          <w:i/>
          <w:iCs/>
        </w:rPr>
        <w:t>neighborCells</w:t>
      </w:r>
      <w:r>
        <w:rPr>
          <w:rFonts w:hint="eastAsia"/>
        </w:rPr>
        <w:t>, the applicable cells for SFTD measurement is captured in 36.331 as following:</w:t>
      </w:r>
    </w:p>
    <w:p>
      <w:r>
        <w:drawing>
          <wp:inline distT="0" distB="0" distL="114300" distR="114300">
            <wp:extent cx="6207125" cy="2642235"/>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207125" cy="2642235"/>
                    </a:xfrm>
                    <a:prstGeom prst="rect">
                      <a:avLst/>
                    </a:prstGeom>
                    <a:noFill/>
                    <a:ln w="9525">
                      <a:noFill/>
                    </a:ln>
                  </pic:spPr>
                </pic:pic>
              </a:graphicData>
            </a:graphic>
          </wp:inline>
        </w:drawing>
      </w:r>
    </w:p>
    <w:p>
      <w:r>
        <w:drawing>
          <wp:inline distT="0" distB="0" distL="114300" distR="114300">
            <wp:extent cx="6202680" cy="779780"/>
            <wp:effectExtent l="0" t="0" r="762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202680" cy="779780"/>
                    </a:xfrm>
                    <a:prstGeom prst="rect">
                      <a:avLst/>
                    </a:prstGeom>
                    <a:noFill/>
                    <a:ln w="9525">
                      <a:noFill/>
                    </a:ln>
                  </pic:spPr>
                </pic:pic>
              </a:graphicData>
            </a:graphic>
          </wp:inline>
        </w:drawing>
      </w:r>
    </w:p>
    <w:p>
      <w:r>
        <w:rPr>
          <w:rFonts w:hint="eastAsia"/>
        </w:rPr>
        <w:t>From the description above, especially the restriction in the field description of the</w:t>
      </w:r>
      <w:r>
        <w:rPr>
          <w:rFonts w:hint="eastAsia"/>
          <w:i/>
          <w:iCs/>
        </w:rPr>
        <w:t xml:space="preserve"> reportSFTD-Meas</w:t>
      </w:r>
      <w:r>
        <w:rPr>
          <w:rFonts w:hint="eastAsia"/>
        </w:rPr>
        <w:t xml:space="preserve">, RAN2 restricts that the UE can only perform SFTD measurement on the neighbour cell(s) that is configured in the </w:t>
      </w:r>
      <w:r>
        <w:rPr>
          <w:rFonts w:hint="eastAsia"/>
          <w:i/>
          <w:iCs/>
        </w:rPr>
        <w:t>cellsForWhichToReportSFTD</w:t>
      </w:r>
      <w:r>
        <w:rPr>
          <w:rFonts w:hint="eastAsia"/>
        </w:rPr>
        <w:t>.</w:t>
      </w:r>
    </w:p>
    <w:p>
      <w:r>
        <w:rPr>
          <w:rFonts w:hint="eastAsia"/>
        </w:rPr>
        <w:t>However, in the LS from RAN4 [2], the neighbour cell info (i.e. PCID) can be optionally provided:</w:t>
      </w:r>
    </w:p>
    <w:tbl>
      <w:tblPr>
        <w:tblStyle w:val="65"/>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7" w:type="dxa"/>
          </w:tcPr>
          <w:p>
            <w:pPr>
              <w:spacing w:after="120"/>
              <w:rPr>
                <w:rFonts w:ascii="Arial" w:hAnsi="Arial" w:cs="Arial"/>
                <w:i/>
                <w:iCs/>
                <w:lang w:eastAsia="en-US"/>
              </w:rPr>
            </w:pPr>
            <w:r>
              <w:rPr>
                <w:rFonts w:ascii="Arial" w:hAnsi="Arial" w:cs="Arial"/>
                <w:i/>
                <w:iCs/>
                <w:lang w:eastAsia="en-US"/>
              </w:rPr>
              <w:t>RAN4 has concluded that one of the mechanisms that will be used for acquiring inter-RAT SFTD for EN-DC capable UE is based on that the UE is searching for NR neighbour cell without measurement gaps. For this mechanism, the UE searches for inter-RAT NR neighbour cells over all possible timings in the SMTC period. RAN4 has identified that the following information, preferably comprised in the measurement configuration, is beneficial for the UE when conducting the inter-RAT SFTD measurement without measurement gaps:</w:t>
            </w:r>
          </w:p>
          <w:p>
            <w:pPr>
              <w:numPr>
                <w:ilvl w:val="0"/>
                <w:numId w:val="4"/>
              </w:numPr>
              <w:rPr>
                <w:rFonts w:ascii="Arial" w:hAnsi="Arial" w:cs="Arial"/>
                <w:i/>
                <w:iCs/>
                <w:lang w:eastAsia="en-US"/>
              </w:rPr>
            </w:pPr>
            <w:r>
              <w:rPr>
                <w:rFonts w:ascii="Arial" w:hAnsi="Arial" w:cs="Arial"/>
                <w:i/>
                <w:iCs/>
                <w:lang w:eastAsia="en-US"/>
              </w:rPr>
              <w:t>SSB frequency location</w:t>
            </w:r>
          </w:p>
          <w:p>
            <w:pPr>
              <w:numPr>
                <w:ilvl w:val="0"/>
                <w:numId w:val="4"/>
              </w:numPr>
              <w:rPr>
                <w:rFonts w:ascii="Arial" w:hAnsi="Arial" w:cs="Arial"/>
                <w:i/>
                <w:iCs/>
                <w:lang w:eastAsia="en-US"/>
              </w:rPr>
            </w:pPr>
            <w:r>
              <w:rPr>
                <w:rFonts w:ascii="Arial" w:hAnsi="Arial" w:cs="Arial"/>
                <w:i/>
                <w:iCs/>
                <w:lang w:eastAsia="en-US"/>
              </w:rPr>
              <w:t>SSB SCS</w:t>
            </w:r>
          </w:p>
          <w:p>
            <w:pPr>
              <w:numPr>
                <w:ilvl w:val="0"/>
                <w:numId w:val="4"/>
              </w:numPr>
              <w:rPr>
                <w:rFonts w:ascii="Arial" w:hAnsi="Arial" w:cs="Arial"/>
                <w:i/>
                <w:iCs/>
                <w:lang w:eastAsia="en-US"/>
              </w:rPr>
            </w:pPr>
            <w:r>
              <w:rPr>
                <w:rFonts w:ascii="Arial" w:hAnsi="Arial" w:cs="Arial"/>
                <w:i/>
                <w:iCs/>
                <w:lang w:eastAsia="en-US"/>
              </w:rPr>
              <w:t>SMTC periodicity</w:t>
            </w:r>
          </w:p>
          <w:p>
            <w:pPr>
              <w:numPr>
                <w:ilvl w:val="0"/>
                <w:numId w:val="4"/>
              </w:numPr>
              <w:rPr>
                <w:rFonts w:ascii="Arial" w:hAnsi="Arial" w:cs="Arial"/>
                <w:i/>
                <w:iCs/>
                <w:lang w:eastAsia="en-US"/>
              </w:rPr>
            </w:pPr>
            <w:r>
              <w:rPr>
                <w:rFonts w:ascii="Arial" w:hAnsi="Arial" w:cs="Arial"/>
                <w:i/>
                <w:iCs/>
                <w:lang w:eastAsia="en-US"/>
              </w:rPr>
              <w:t>SMTC window length</w:t>
            </w:r>
          </w:p>
          <w:p>
            <w:pPr>
              <w:numPr>
                <w:ilvl w:val="0"/>
                <w:numId w:val="4"/>
              </w:numPr>
              <w:rPr>
                <w:i/>
                <w:iCs/>
                <w:lang w:eastAsia="en-US"/>
              </w:rPr>
            </w:pPr>
            <w:r>
              <w:rPr>
                <w:rFonts w:ascii="Arial" w:hAnsi="Arial" w:cs="Arial"/>
                <w:i/>
                <w:iCs/>
                <w:highlight w:val="yellow"/>
                <w:lang w:eastAsia="en-US"/>
              </w:rPr>
              <w:t>Optional: PCID</w:t>
            </w:r>
          </w:p>
        </w:tc>
      </w:tr>
    </w:tbl>
    <w:p>
      <w:pPr>
        <w:spacing w:before="156" w:beforeLines="50" w:line="260" w:lineRule="auto"/>
      </w:pPr>
      <w:r>
        <w:rPr>
          <w:rFonts w:hint="eastAsia"/>
        </w:rPr>
        <w:t xml:space="preserve">In addition, per the latest agreed CR for the inter-RAT SFTD measurement requirement at RAN4#86bis </w:t>
      </w:r>
      <w:r>
        <w:rPr>
          <w:rFonts w:hint="eastAsia"/>
        </w:rPr>
        <w:fldChar w:fldCharType="begin"/>
      </w:r>
      <w:r>
        <w:rPr>
          <w:rFonts w:hint="eastAsia"/>
        </w:rPr>
        <w:instrText xml:space="preserve"> REF _Ref6034 \n \h </w:instrText>
      </w:r>
      <w:r>
        <w:rPr>
          <w:rFonts w:hint="eastAsia"/>
        </w:rPr>
        <w:fldChar w:fldCharType="separate"/>
      </w:r>
      <w:r>
        <w:rPr>
          <w:rFonts w:hint="eastAsia"/>
        </w:rPr>
        <w:t>[3]</w:t>
      </w:r>
      <w:r>
        <w:rPr>
          <w:rFonts w:hint="eastAsia"/>
        </w:rPr>
        <w:fldChar w:fldCharType="end"/>
      </w:r>
      <w:r>
        <w:rPr>
          <w:rFonts w:hint="eastAsia"/>
        </w:rPr>
        <w:t>, it is captured as following:</w:t>
      </w:r>
    </w:p>
    <w:p>
      <w:pPr>
        <w:spacing w:before="156" w:beforeLines="50" w:line="260" w:lineRule="auto"/>
        <w:rPr>
          <w:i/>
          <w:iCs/>
        </w:rPr>
      </w:pPr>
      <w:r>
        <w:rPr>
          <w:rFonts w:hint="eastAsia"/>
          <w:i/>
          <w:iCs/>
        </w:rPr>
        <w:t xml:space="preserve">The UE shall be able to detect, identify and measure SFTD of the strongest NR cell on the carrier frequency provided in the SFTD measurement configuration. </w:t>
      </w:r>
    </w:p>
    <w:p>
      <w:pPr>
        <w:spacing w:before="156" w:beforeLines="50" w:line="260" w:lineRule="auto"/>
      </w:pPr>
      <w:r>
        <w:rPr>
          <w:rFonts w:hint="eastAsia"/>
        </w:rPr>
        <w:t xml:space="preserve">So given the above, our understanding is that RAN4 allows to perform SFTD measurement on neighbour cells that </w:t>
      </w:r>
      <w:bookmarkStart w:id="14" w:name="_GoBack"/>
      <w:r>
        <w:rPr>
          <w:rFonts w:hint="eastAsia"/>
        </w:rPr>
        <w:t xml:space="preserve">is not explicitly configured. </w:t>
      </w:r>
      <w:r>
        <w:rPr>
          <w:rFonts w:hint="eastAsia"/>
          <w:lang w:val="en-US" w:eastAsia="zh-CN"/>
        </w:rPr>
        <w:t xml:space="preserve">From RAN2 point of view, the supporting of this feature is also benefit to facilitate the </w:t>
      </w:r>
      <w:bookmarkEnd w:id="14"/>
      <w:r>
        <w:rPr>
          <w:rFonts w:hint="eastAsia"/>
          <w:lang w:val="en-US" w:eastAsia="zh-CN"/>
        </w:rPr>
        <w:t>SMTC configuration of a new deployed frequency. In case of deploying a new frequency (e.g. deploy a new frequency F1 on node1), without acquiring the timing difference, the neighbour node (e.g.node2) can</w:t>
      </w:r>
      <w:r>
        <w:rPr>
          <w:rFonts w:hint="default"/>
          <w:lang w:val="en-US" w:eastAsia="zh-CN"/>
        </w:rPr>
        <w:t>’</w:t>
      </w:r>
      <w:r>
        <w:rPr>
          <w:rFonts w:hint="eastAsia"/>
          <w:lang w:val="en-US" w:eastAsia="zh-CN"/>
        </w:rPr>
        <w:t>t configure the exact SMTC offset for UE to performing measurement. Per RAN4</w:t>
      </w:r>
      <w:r>
        <w:rPr>
          <w:rFonts w:hint="default"/>
          <w:lang w:val="en-US" w:eastAsia="zh-CN"/>
        </w:rPr>
        <w:t>’</w:t>
      </w:r>
      <w:r>
        <w:rPr>
          <w:rFonts w:hint="eastAsia"/>
          <w:lang w:val="en-US" w:eastAsia="zh-CN"/>
        </w:rPr>
        <w:t xml:space="preserve">s decision, all measurements except for the SFTD measurement should be performed within the actual configured SMTC window. Given that, with the supporting of configure SFTD measurement on non-explicitly indicated neighbour cells on the new deployed frequency, the UE detects neighbour cells regardless of its SSB position in the SMTC period, acquires and report the SFTD to the network. With the reception of the SFTD, then NW can then configure the proper SMTC configuration. So given the above, </w:t>
      </w:r>
      <w:r>
        <w:rPr>
          <w:rFonts w:hint="eastAsia"/>
        </w:rPr>
        <w:t xml:space="preserve">it should be allowed that the </w:t>
      </w:r>
      <w:r>
        <w:rPr>
          <w:rFonts w:hint="eastAsia"/>
          <w:i/>
          <w:iCs/>
        </w:rPr>
        <w:t xml:space="preserve">cellsForWhichToReportSFTD </w:t>
      </w:r>
      <w:r>
        <w:rPr>
          <w:rFonts w:hint="eastAsia"/>
        </w:rPr>
        <w:t xml:space="preserve">can be absent when the the </w:t>
      </w:r>
      <w:r>
        <w:rPr>
          <w:rFonts w:hint="eastAsia"/>
          <w:i/>
          <w:iCs/>
        </w:rPr>
        <w:t>reportSFTD-Meas</w:t>
      </w:r>
      <w:r>
        <w:rPr>
          <w:rFonts w:hint="eastAsia"/>
        </w:rPr>
        <w:t xml:space="preserve"> is set to </w:t>
      </w:r>
      <w:r>
        <w:rPr>
          <w:rFonts w:hint="eastAsia"/>
          <w:i/>
          <w:iCs/>
        </w:rPr>
        <w:t>neighborCells</w:t>
      </w:r>
      <w:r>
        <w:rPr>
          <w:rFonts w:hint="eastAsia"/>
        </w:rPr>
        <w:t>.</w:t>
      </w:r>
    </w:p>
    <w:p>
      <w:pPr>
        <w:spacing w:before="156" w:beforeLines="50" w:line="260" w:lineRule="auto"/>
        <w:rPr>
          <w:b/>
          <w:bCs/>
        </w:rPr>
      </w:pPr>
      <w:bookmarkStart w:id="3" w:name="OLE_LINK4"/>
      <w:r>
        <w:rPr>
          <w:rFonts w:hint="eastAsia"/>
          <w:b/>
          <w:bCs/>
        </w:rPr>
        <w:t xml:space="preserve">Proposal 1: </w:t>
      </w:r>
      <w:r>
        <w:rPr>
          <w:rFonts w:hint="eastAsia"/>
          <w:b/>
          <w:bCs/>
          <w:lang w:val="en-US" w:eastAsia="zh-CN"/>
        </w:rPr>
        <w:t>It should be allowed in RAN2 spec that</w:t>
      </w:r>
      <w:r>
        <w:rPr>
          <w:rFonts w:hint="eastAsia"/>
          <w:b/>
          <w:bCs/>
        </w:rPr>
        <w:t xml:space="preserve"> the </w:t>
      </w:r>
      <w:r>
        <w:rPr>
          <w:rFonts w:hint="eastAsia"/>
          <w:b/>
          <w:bCs/>
          <w:i/>
          <w:iCs/>
        </w:rPr>
        <w:t xml:space="preserve">cellsForWhichToReportSFTD </w:t>
      </w:r>
      <w:r>
        <w:rPr>
          <w:rFonts w:hint="eastAsia"/>
          <w:b/>
          <w:bCs/>
        </w:rPr>
        <w:t xml:space="preserve">can be absent when </w:t>
      </w:r>
      <w:bookmarkStart w:id="4" w:name="OLE_LINK5"/>
      <w:r>
        <w:rPr>
          <w:rFonts w:hint="eastAsia"/>
          <w:b/>
          <w:bCs/>
        </w:rPr>
        <w:t xml:space="preserve">the </w:t>
      </w:r>
      <w:r>
        <w:rPr>
          <w:rFonts w:hint="eastAsia"/>
          <w:b/>
          <w:bCs/>
          <w:i/>
          <w:iCs/>
        </w:rPr>
        <w:t>reportSFTD-Meas</w:t>
      </w:r>
      <w:r>
        <w:rPr>
          <w:rFonts w:hint="eastAsia"/>
          <w:b/>
          <w:bCs/>
        </w:rPr>
        <w:t xml:space="preserve"> is set to </w:t>
      </w:r>
      <w:r>
        <w:rPr>
          <w:rFonts w:hint="eastAsia"/>
          <w:b/>
          <w:bCs/>
          <w:i/>
          <w:iCs/>
        </w:rPr>
        <w:t>neighborCells</w:t>
      </w:r>
      <w:bookmarkEnd w:id="4"/>
      <w:r>
        <w:rPr>
          <w:rFonts w:hint="eastAsia"/>
          <w:b/>
          <w:bCs/>
        </w:rPr>
        <w:t>.</w:t>
      </w:r>
    </w:p>
    <w:bookmarkEnd w:id="3"/>
    <w:p>
      <w:r>
        <w:rPr>
          <w:rFonts w:hint="eastAsia"/>
        </w:rPr>
        <w:t xml:space="preserve">If the the absent of the </w:t>
      </w:r>
      <w:r>
        <w:rPr>
          <w:rFonts w:hint="eastAsia"/>
          <w:i/>
          <w:iCs/>
        </w:rPr>
        <w:t xml:space="preserve">cellsForWhichToReportSFTD </w:t>
      </w:r>
      <w:r>
        <w:rPr>
          <w:rFonts w:hint="eastAsia"/>
        </w:rPr>
        <w:t>is allowed when the</w:t>
      </w:r>
      <w:r>
        <w:rPr>
          <w:rFonts w:hint="eastAsia"/>
          <w:i/>
          <w:iCs/>
        </w:rPr>
        <w:t xml:space="preserve"> reportSFTD-Meas</w:t>
      </w:r>
      <w:r>
        <w:rPr>
          <w:rFonts w:hint="eastAsia"/>
        </w:rPr>
        <w:t xml:space="preserve"> is set to </w:t>
      </w:r>
      <w:r>
        <w:rPr>
          <w:rFonts w:hint="eastAsia"/>
          <w:i/>
          <w:iCs/>
        </w:rPr>
        <w:t>neighborCells</w:t>
      </w:r>
      <w:r>
        <w:rPr>
          <w:rFonts w:hint="eastAsia"/>
        </w:rPr>
        <w:t xml:space="preserve">, then the question is which neighbour cells should the UE choose to perform SFTD measurement? Per LS from RAN4 [2], up to 3 cells can be reported. While according to the CR at RAN4#86bis [3], it seems that the UE only performs SFTD measurement on the strongest NR cell on the carrier indicated for SFTD measurement. From our understanding, the UE is anyway required to have the capability to perform SFTD measurement up to 3 cells if the cells are explicitly configured in the </w:t>
      </w:r>
      <w:bookmarkStart w:id="5" w:name="OLE_LINK3"/>
      <w:r>
        <w:rPr>
          <w:rFonts w:hint="eastAsia"/>
          <w:i/>
          <w:iCs/>
        </w:rPr>
        <w:t>cellsForWhichToReportSFTD</w:t>
      </w:r>
      <w:bookmarkEnd w:id="5"/>
      <w:r>
        <w:rPr>
          <w:rFonts w:hint="eastAsia"/>
        </w:rPr>
        <w:t xml:space="preserve">. So in the particular case that the </w:t>
      </w:r>
      <w:r>
        <w:rPr>
          <w:rFonts w:hint="eastAsia"/>
          <w:i/>
          <w:iCs/>
        </w:rPr>
        <w:t xml:space="preserve">cellsForWhichToReportSFTD </w:t>
      </w:r>
      <w:r>
        <w:rPr>
          <w:rFonts w:hint="eastAsia"/>
        </w:rPr>
        <w:t xml:space="preserve">is not configured, it should also be allowed to perform SFTD measurement up to 3 cells. And the simplest way is to perform SFTD measurement of the 3 strongest NR cells. </w:t>
      </w:r>
    </w:p>
    <w:p>
      <w:pPr>
        <w:spacing w:before="156" w:beforeLines="50" w:line="260" w:lineRule="auto"/>
        <w:rPr>
          <w:b/>
          <w:bCs/>
        </w:rPr>
      </w:pPr>
      <w:r>
        <w:rPr>
          <w:rFonts w:hint="eastAsia"/>
          <w:b/>
          <w:bCs/>
        </w:rPr>
        <w:t xml:space="preserve">Proposal 2: </w:t>
      </w:r>
      <w:bookmarkStart w:id="6" w:name="OLE_LINK6"/>
      <w:r>
        <w:rPr>
          <w:rFonts w:hint="eastAsia"/>
          <w:b/>
          <w:bCs/>
        </w:rPr>
        <w:t xml:space="preserve">If </w:t>
      </w:r>
      <w:r>
        <w:rPr>
          <w:rFonts w:hint="eastAsia"/>
          <w:b/>
          <w:bCs/>
          <w:i/>
          <w:iCs/>
        </w:rPr>
        <w:t xml:space="preserve">cellsForWhichToReportSFTD </w:t>
      </w:r>
      <w:r>
        <w:rPr>
          <w:rFonts w:hint="eastAsia"/>
          <w:b/>
          <w:bCs/>
        </w:rPr>
        <w:t xml:space="preserve">is absent when the </w:t>
      </w:r>
      <w:r>
        <w:rPr>
          <w:rFonts w:hint="eastAsia"/>
          <w:b/>
          <w:bCs/>
          <w:i/>
          <w:iCs/>
        </w:rPr>
        <w:t>reportSFTD-Meas</w:t>
      </w:r>
      <w:r>
        <w:rPr>
          <w:rFonts w:hint="eastAsia"/>
          <w:b/>
          <w:bCs/>
        </w:rPr>
        <w:t xml:space="preserve"> is set to </w:t>
      </w:r>
      <w:r>
        <w:rPr>
          <w:rFonts w:hint="eastAsia"/>
          <w:b/>
          <w:bCs/>
          <w:i/>
          <w:iCs/>
        </w:rPr>
        <w:t>neighborCells</w:t>
      </w:r>
      <w:r>
        <w:rPr>
          <w:rFonts w:hint="eastAsia"/>
          <w:b/>
          <w:bCs/>
        </w:rPr>
        <w:t>, the UE performs SFTD measurement of the 3 strongest NR cells.</w:t>
      </w:r>
    </w:p>
    <w:bookmarkEnd w:id="6"/>
    <w:p>
      <w:pPr>
        <w:rPr>
          <w:b/>
          <w:bCs/>
        </w:rPr>
      </w:pPr>
      <w:r>
        <w:rPr>
          <w:rFonts w:hint="eastAsia"/>
        </w:rPr>
        <w:t xml:space="preserve">If the proposals are agreed, a draft CR can be found in our companion contribution </w:t>
      </w:r>
      <w:r>
        <w:rPr>
          <w:rFonts w:hint="eastAsia"/>
        </w:rPr>
        <w:fldChar w:fldCharType="begin"/>
      </w:r>
      <w:r>
        <w:rPr>
          <w:rFonts w:hint="eastAsia"/>
        </w:rPr>
        <w:instrText xml:space="preserve"> REF _Ref27315 \n \h </w:instrText>
      </w:r>
      <w:r>
        <w:rPr>
          <w:rFonts w:hint="eastAsia"/>
        </w:rPr>
        <w:fldChar w:fldCharType="end"/>
      </w:r>
      <w:r>
        <w:rPr>
          <w:rFonts w:hint="eastAsia"/>
        </w:rPr>
        <w:fldChar w:fldCharType="begin"/>
      </w:r>
      <w:r>
        <w:rPr>
          <w:rFonts w:hint="eastAsia"/>
        </w:rPr>
        <w:instrText xml:space="preserve"> REF _Ref19289 \n \h </w:instrText>
      </w:r>
      <w:r>
        <w:rPr>
          <w:rFonts w:hint="eastAsia"/>
        </w:rPr>
        <w:fldChar w:fldCharType="separate"/>
      </w:r>
      <w:r>
        <w:rPr>
          <w:rFonts w:hint="eastAsia"/>
        </w:rPr>
        <w:t>[4]</w:t>
      </w:r>
      <w:r>
        <w:rPr>
          <w:rFonts w:hint="eastAsia"/>
        </w:rPr>
        <w:fldChar w:fldCharType="end"/>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 xml:space="preserve">we try to clarify whether the </w:t>
      </w:r>
      <w:r>
        <w:rPr>
          <w:rFonts w:hint="eastAsia"/>
          <w:i/>
          <w:iCs/>
        </w:rPr>
        <w:t xml:space="preserve">cellsForWhichToReportSFTD </w:t>
      </w:r>
      <w:r>
        <w:rPr>
          <w:rFonts w:hint="eastAsia"/>
        </w:rPr>
        <w:t xml:space="preserve">can be absent when the the </w:t>
      </w:r>
      <w:r>
        <w:rPr>
          <w:rFonts w:hint="eastAsia"/>
          <w:i/>
          <w:iCs/>
        </w:rPr>
        <w:t>reportSFTD-Meas</w:t>
      </w:r>
      <w:r>
        <w:rPr>
          <w:rFonts w:hint="eastAsia"/>
        </w:rPr>
        <w:t xml:space="preserve"> is set to </w:t>
      </w:r>
      <w:r>
        <w:rPr>
          <w:rFonts w:hint="eastAsia"/>
          <w:i/>
          <w:iCs/>
        </w:rPr>
        <w:t>neighborCells</w:t>
      </w:r>
      <w:r>
        <w:rPr>
          <w:rFonts w:hint="eastAsia"/>
        </w:rPr>
        <w:t xml:space="preserve">. And if the the absent of the </w:t>
      </w:r>
      <w:r>
        <w:rPr>
          <w:rFonts w:hint="eastAsia"/>
          <w:i/>
          <w:iCs/>
        </w:rPr>
        <w:t xml:space="preserve">cellsForWhichToReportSFTD </w:t>
      </w:r>
      <w:r>
        <w:rPr>
          <w:rFonts w:hint="eastAsia"/>
        </w:rPr>
        <w:t>is allowed, which neighbour cells should the UE choose to perform SFTD measurement with the following proposals:</w:t>
      </w:r>
    </w:p>
    <w:p>
      <w:pPr>
        <w:spacing w:before="156" w:beforeLines="50" w:line="260" w:lineRule="auto"/>
        <w:rPr>
          <w:b/>
          <w:bCs/>
        </w:rPr>
      </w:pPr>
      <w:r>
        <w:rPr>
          <w:rFonts w:hint="eastAsia"/>
          <w:b/>
          <w:bCs/>
        </w:rPr>
        <w:t xml:space="preserve">Proposal 1: </w:t>
      </w:r>
      <w:r>
        <w:rPr>
          <w:rFonts w:hint="eastAsia"/>
          <w:b/>
          <w:bCs/>
          <w:lang w:val="en-US" w:eastAsia="zh-CN"/>
        </w:rPr>
        <w:t>It should be allowed in RAN2 spec that</w:t>
      </w:r>
      <w:r>
        <w:rPr>
          <w:rFonts w:hint="eastAsia"/>
          <w:b/>
          <w:bCs/>
        </w:rPr>
        <w:t xml:space="preserve"> the </w:t>
      </w:r>
      <w:r>
        <w:rPr>
          <w:rFonts w:hint="eastAsia"/>
          <w:b/>
          <w:bCs/>
          <w:i/>
          <w:iCs/>
        </w:rPr>
        <w:t xml:space="preserve">cellsForWhichToReportSFTD </w:t>
      </w:r>
      <w:r>
        <w:rPr>
          <w:rFonts w:hint="eastAsia"/>
          <w:b/>
          <w:bCs/>
        </w:rPr>
        <w:t xml:space="preserve">can be absent when the </w:t>
      </w:r>
      <w:r>
        <w:rPr>
          <w:rFonts w:hint="eastAsia"/>
          <w:b/>
          <w:bCs/>
          <w:i/>
          <w:iCs/>
        </w:rPr>
        <w:t>reportSFTD-Meas</w:t>
      </w:r>
      <w:r>
        <w:rPr>
          <w:rFonts w:hint="eastAsia"/>
          <w:b/>
          <w:bCs/>
        </w:rPr>
        <w:t xml:space="preserve"> is set to </w:t>
      </w:r>
      <w:r>
        <w:rPr>
          <w:rFonts w:hint="eastAsia"/>
          <w:b/>
          <w:bCs/>
          <w:i/>
          <w:iCs/>
        </w:rPr>
        <w:t>neighborCells</w:t>
      </w:r>
      <w:r>
        <w:rPr>
          <w:rFonts w:hint="eastAsia"/>
          <w:b/>
          <w:bCs/>
        </w:rPr>
        <w:t>.</w:t>
      </w:r>
    </w:p>
    <w:p>
      <w:pPr>
        <w:spacing w:before="156" w:beforeLines="50" w:line="260" w:lineRule="auto"/>
        <w:rPr>
          <w:b/>
          <w:bCs/>
        </w:rPr>
      </w:pPr>
      <w:r>
        <w:rPr>
          <w:rFonts w:hint="eastAsia"/>
          <w:b/>
          <w:bCs/>
        </w:rPr>
        <w:t xml:space="preserve">Proposal 2: If </w:t>
      </w:r>
      <w:r>
        <w:rPr>
          <w:rFonts w:hint="eastAsia"/>
          <w:b/>
          <w:bCs/>
          <w:i/>
          <w:iCs/>
        </w:rPr>
        <w:t xml:space="preserve">cellsForWhichToReportSFTD </w:t>
      </w:r>
      <w:r>
        <w:rPr>
          <w:rFonts w:hint="eastAsia"/>
          <w:b/>
          <w:bCs/>
        </w:rPr>
        <w:t xml:space="preserve">is absent when the </w:t>
      </w:r>
      <w:r>
        <w:rPr>
          <w:rFonts w:hint="eastAsia"/>
          <w:b/>
          <w:bCs/>
          <w:i/>
          <w:iCs/>
        </w:rPr>
        <w:t>reportSFTD-Meas</w:t>
      </w:r>
      <w:r>
        <w:rPr>
          <w:rFonts w:hint="eastAsia"/>
          <w:b/>
          <w:bCs/>
        </w:rPr>
        <w:t xml:space="preserve"> is set to </w:t>
      </w:r>
      <w:r>
        <w:rPr>
          <w:rFonts w:hint="eastAsia"/>
          <w:b/>
          <w:bCs/>
          <w:i/>
          <w:iCs/>
        </w:rPr>
        <w:t>neighborCells</w:t>
      </w:r>
      <w:r>
        <w:rPr>
          <w:rFonts w:hint="eastAsia"/>
          <w:b/>
          <w:bCs/>
        </w:rPr>
        <w:t>, the UE performs SFTD measurement of the 3 strongest NR cells.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5"/>
        </w:numPr>
        <w:ind w:firstLineChars="0"/>
        <w:rPr>
          <w:szCs w:val="22"/>
          <w:lang w:val="en-GB"/>
        </w:rPr>
      </w:pPr>
      <w:bookmarkStart w:id="7" w:name="_Ref29090"/>
      <w:r>
        <w:rPr>
          <w:rFonts w:hint="eastAsia"/>
          <w:szCs w:val="22"/>
          <w:lang w:val="en-GB"/>
        </w:rPr>
        <w:t xml:space="preserve">R2-1806432 </w:t>
      </w:r>
      <w:r>
        <w:rPr>
          <w:rFonts w:hint="eastAsia"/>
          <w:szCs w:val="22"/>
        </w:rPr>
        <w:t>Miscellaneous EN-DC related corrections</w:t>
      </w:r>
      <w:bookmarkEnd w:id="7"/>
    </w:p>
    <w:p>
      <w:pPr>
        <w:pStyle w:val="67"/>
        <w:numPr>
          <w:ilvl w:val="0"/>
          <w:numId w:val="5"/>
        </w:numPr>
        <w:ind w:firstLineChars="0"/>
        <w:rPr>
          <w:szCs w:val="22"/>
          <w:lang w:val="en-GB"/>
        </w:rPr>
      </w:pPr>
      <w:bookmarkStart w:id="8" w:name="_Ref27315"/>
      <w:bookmarkEnd w:id="8"/>
      <w:bookmarkStart w:id="9" w:name="_Ref32545"/>
      <w:r>
        <w:rPr>
          <w:rFonts w:hint="eastAsia"/>
          <w:szCs w:val="22"/>
          <w:lang w:val="en-GB"/>
        </w:rPr>
        <w:t>R2-</w:t>
      </w:r>
      <w:bookmarkStart w:id="10" w:name="OLE_LINK2"/>
      <w:r>
        <w:rPr>
          <w:rFonts w:hint="eastAsia"/>
          <w:szCs w:val="22"/>
          <w:lang w:val="en-GB"/>
        </w:rPr>
        <w:t>1804093</w:t>
      </w:r>
      <w:r>
        <w:rPr>
          <w:rFonts w:hint="eastAsia"/>
          <w:szCs w:val="22"/>
        </w:rPr>
        <w:t xml:space="preserve"> </w:t>
      </w:r>
      <w:bookmarkEnd w:id="10"/>
      <w:r>
        <w:rPr>
          <w:rFonts w:hint="eastAsia"/>
          <w:szCs w:val="22"/>
        </w:rPr>
        <w:t>LS reply on LTE measurement gap patterns for SSTD measurement</w:t>
      </w:r>
      <w:bookmarkEnd w:id="9"/>
    </w:p>
    <w:p>
      <w:pPr>
        <w:pStyle w:val="67"/>
        <w:numPr>
          <w:ilvl w:val="0"/>
          <w:numId w:val="5"/>
        </w:numPr>
        <w:ind w:firstLineChars="0"/>
        <w:rPr>
          <w:szCs w:val="22"/>
          <w:lang w:val="en-GB"/>
        </w:rPr>
      </w:pPr>
      <w:bookmarkStart w:id="11" w:name="OLE_LINK7"/>
      <w:bookmarkStart w:id="12" w:name="_Ref6034"/>
      <w:r>
        <w:rPr>
          <w:rFonts w:hint="eastAsia"/>
          <w:szCs w:val="22"/>
          <w:lang w:val="en-GB"/>
        </w:rPr>
        <w:t>R4-1805956</w:t>
      </w:r>
      <w:bookmarkEnd w:id="11"/>
      <w:r>
        <w:rPr>
          <w:rFonts w:hint="eastAsia"/>
          <w:szCs w:val="22"/>
        </w:rPr>
        <w:t xml:space="preserve"> Introduction of inter-RAT SFTD measurement requirement </w:t>
      </w:r>
      <w:bookmarkEnd w:id="12"/>
    </w:p>
    <w:p>
      <w:pPr>
        <w:pStyle w:val="67"/>
        <w:numPr>
          <w:ilvl w:val="0"/>
          <w:numId w:val="5"/>
        </w:numPr>
        <w:ind w:firstLineChars="0"/>
        <w:rPr>
          <w:szCs w:val="22"/>
          <w:lang w:val="en-GB"/>
        </w:rPr>
      </w:pPr>
      <w:bookmarkStart w:id="13" w:name="_Ref19289"/>
      <w:r>
        <w:rPr>
          <w:rFonts w:hint="eastAsia"/>
          <w:szCs w:val="22"/>
        </w:rPr>
        <w:t>R2-1807432 CR for SFTD in EN-DC ZTE Corporation</w:t>
      </w:r>
      <w:bookmarkEnd w:id="13"/>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0BE5565"/>
    <w:multiLevelType w:val="multilevel"/>
    <w:tmpl w:val="50BE55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389B"/>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1E65"/>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42F93"/>
    <w:rsid w:val="01220F86"/>
    <w:rsid w:val="01276E18"/>
    <w:rsid w:val="013B116A"/>
    <w:rsid w:val="014D3AA5"/>
    <w:rsid w:val="017076A2"/>
    <w:rsid w:val="01767489"/>
    <w:rsid w:val="01AE3B73"/>
    <w:rsid w:val="01B9760B"/>
    <w:rsid w:val="01D90008"/>
    <w:rsid w:val="01E213D7"/>
    <w:rsid w:val="0239697F"/>
    <w:rsid w:val="02574EE1"/>
    <w:rsid w:val="026F629B"/>
    <w:rsid w:val="028A67A0"/>
    <w:rsid w:val="029F5EEC"/>
    <w:rsid w:val="02C62E55"/>
    <w:rsid w:val="030C3441"/>
    <w:rsid w:val="030D10A2"/>
    <w:rsid w:val="03173A35"/>
    <w:rsid w:val="03202434"/>
    <w:rsid w:val="033763DC"/>
    <w:rsid w:val="04067142"/>
    <w:rsid w:val="04452E11"/>
    <w:rsid w:val="044C1A52"/>
    <w:rsid w:val="04CD3143"/>
    <w:rsid w:val="04D36CCF"/>
    <w:rsid w:val="04DF5B3A"/>
    <w:rsid w:val="05002E1C"/>
    <w:rsid w:val="050C31AF"/>
    <w:rsid w:val="05174168"/>
    <w:rsid w:val="05176A71"/>
    <w:rsid w:val="05183286"/>
    <w:rsid w:val="056A031B"/>
    <w:rsid w:val="056D39BD"/>
    <w:rsid w:val="05C84427"/>
    <w:rsid w:val="05CE6506"/>
    <w:rsid w:val="05D1713F"/>
    <w:rsid w:val="05EA3D69"/>
    <w:rsid w:val="05F13BE9"/>
    <w:rsid w:val="06136726"/>
    <w:rsid w:val="062E6977"/>
    <w:rsid w:val="06406186"/>
    <w:rsid w:val="06515865"/>
    <w:rsid w:val="066B2772"/>
    <w:rsid w:val="066E7630"/>
    <w:rsid w:val="06801D8F"/>
    <w:rsid w:val="06AC02F9"/>
    <w:rsid w:val="06B968B0"/>
    <w:rsid w:val="0706413A"/>
    <w:rsid w:val="0719400C"/>
    <w:rsid w:val="07226FD6"/>
    <w:rsid w:val="07387A0E"/>
    <w:rsid w:val="07A65C26"/>
    <w:rsid w:val="07B47F2F"/>
    <w:rsid w:val="07BB441A"/>
    <w:rsid w:val="07BE2890"/>
    <w:rsid w:val="07C4242C"/>
    <w:rsid w:val="07C84D70"/>
    <w:rsid w:val="07F209D6"/>
    <w:rsid w:val="08110428"/>
    <w:rsid w:val="0813138F"/>
    <w:rsid w:val="08186B81"/>
    <w:rsid w:val="08217470"/>
    <w:rsid w:val="08505A22"/>
    <w:rsid w:val="08555E5D"/>
    <w:rsid w:val="08690BF0"/>
    <w:rsid w:val="0891628E"/>
    <w:rsid w:val="089E6C62"/>
    <w:rsid w:val="089F35A4"/>
    <w:rsid w:val="08E33A5D"/>
    <w:rsid w:val="08F54145"/>
    <w:rsid w:val="09277723"/>
    <w:rsid w:val="098246C4"/>
    <w:rsid w:val="09C1228B"/>
    <w:rsid w:val="09D1363B"/>
    <w:rsid w:val="09F546E9"/>
    <w:rsid w:val="0A121077"/>
    <w:rsid w:val="0A145369"/>
    <w:rsid w:val="0A520523"/>
    <w:rsid w:val="0A976F35"/>
    <w:rsid w:val="0AAA0437"/>
    <w:rsid w:val="0AAE3C34"/>
    <w:rsid w:val="0ACF2E95"/>
    <w:rsid w:val="0ADC5745"/>
    <w:rsid w:val="0AF957A7"/>
    <w:rsid w:val="0AFA6E82"/>
    <w:rsid w:val="0AFD59B0"/>
    <w:rsid w:val="0B1537E9"/>
    <w:rsid w:val="0B2D55C6"/>
    <w:rsid w:val="0B3A1D48"/>
    <w:rsid w:val="0B3A6177"/>
    <w:rsid w:val="0B6625DE"/>
    <w:rsid w:val="0B7F323C"/>
    <w:rsid w:val="0B8E01B3"/>
    <w:rsid w:val="0B98131B"/>
    <w:rsid w:val="0B9C2DCB"/>
    <w:rsid w:val="0BF04DBB"/>
    <w:rsid w:val="0C150296"/>
    <w:rsid w:val="0CA00818"/>
    <w:rsid w:val="0CD00B5C"/>
    <w:rsid w:val="0CF868FE"/>
    <w:rsid w:val="0CFD74C3"/>
    <w:rsid w:val="0D0D29B9"/>
    <w:rsid w:val="0D6D666D"/>
    <w:rsid w:val="0D9421CE"/>
    <w:rsid w:val="0D9E14AE"/>
    <w:rsid w:val="0DE7427C"/>
    <w:rsid w:val="0DEC79F6"/>
    <w:rsid w:val="0E0F1E19"/>
    <w:rsid w:val="0E1B3A75"/>
    <w:rsid w:val="0E28192B"/>
    <w:rsid w:val="0E29672C"/>
    <w:rsid w:val="0E3B3201"/>
    <w:rsid w:val="0E4932A7"/>
    <w:rsid w:val="0E6F6BE9"/>
    <w:rsid w:val="0E8D03D6"/>
    <w:rsid w:val="0E930DC4"/>
    <w:rsid w:val="0EA210F9"/>
    <w:rsid w:val="0EBB0693"/>
    <w:rsid w:val="0EC63785"/>
    <w:rsid w:val="0ED02050"/>
    <w:rsid w:val="0EEB4923"/>
    <w:rsid w:val="0EF05D44"/>
    <w:rsid w:val="0F2532AC"/>
    <w:rsid w:val="0F297350"/>
    <w:rsid w:val="0F3D762A"/>
    <w:rsid w:val="0F6D727E"/>
    <w:rsid w:val="0F7E451E"/>
    <w:rsid w:val="0FA30F3F"/>
    <w:rsid w:val="0FA90B55"/>
    <w:rsid w:val="0FFA4D1A"/>
    <w:rsid w:val="0FFF3B01"/>
    <w:rsid w:val="10046AD5"/>
    <w:rsid w:val="10220ACB"/>
    <w:rsid w:val="10335795"/>
    <w:rsid w:val="104C1E99"/>
    <w:rsid w:val="10534D62"/>
    <w:rsid w:val="10870262"/>
    <w:rsid w:val="10AD1F54"/>
    <w:rsid w:val="10B2230B"/>
    <w:rsid w:val="10B41522"/>
    <w:rsid w:val="10C95425"/>
    <w:rsid w:val="10DC499E"/>
    <w:rsid w:val="1117167F"/>
    <w:rsid w:val="112A395D"/>
    <w:rsid w:val="1136706E"/>
    <w:rsid w:val="113B307C"/>
    <w:rsid w:val="118F3834"/>
    <w:rsid w:val="11965A2F"/>
    <w:rsid w:val="11BA71ED"/>
    <w:rsid w:val="11CD23DE"/>
    <w:rsid w:val="11F33AF7"/>
    <w:rsid w:val="11F67276"/>
    <w:rsid w:val="12164442"/>
    <w:rsid w:val="12243521"/>
    <w:rsid w:val="122F0EFF"/>
    <w:rsid w:val="123015E0"/>
    <w:rsid w:val="12433C5F"/>
    <w:rsid w:val="125A3D5B"/>
    <w:rsid w:val="1271004E"/>
    <w:rsid w:val="12B14E49"/>
    <w:rsid w:val="12EA5838"/>
    <w:rsid w:val="12EB7D61"/>
    <w:rsid w:val="133D260C"/>
    <w:rsid w:val="134E4986"/>
    <w:rsid w:val="13A35249"/>
    <w:rsid w:val="141C2EE7"/>
    <w:rsid w:val="143678DB"/>
    <w:rsid w:val="1488421A"/>
    <w:rsid w:val="149C72CB"/>
    <w:rsid w:val="14BC46BD"/>
    <w:rsid w:val="14D16EA2"/>
    <w:rsid w:val="14DF61F7"/>
    <w:rsid w:val="14F21AD3"/>
    <w:rsid w:val="14FA49CB"/>
    <w:rsid w:val="155810A4"/>
    <w:rsid w:val="15691476"/>
    <w:rsid w:val="156F3E1F"/>
    <w:rsid w:val="158237E0"/>
    <w:rsid w:val="15823994"/>
    <w:rsid w:val="15896E25"/>
    <w:rsid w:val="15951987"/>
    <w:rsid w:val="15AF2CC9"/>
    <w:rsid w:val="162D6E09"/>
    <w:rsid w:val="164C11AD"/>
    <w:rsid w:val="164F1A88"/>
    <w:rsid w:val="165B205C"/>
    <w:rsid w:val="16744071"/>
    <w:rsid w:val="1680645E"/>
    <w:rsid w:val="169244FA"/>
    <w:rsid w:val="16A64AEE"/>
    <w:rsid w:val="16AB7A53"/>
    <w:rsid w:val="16EA1C73"/>
    <w:rsid w:val="1715033B"/>
    <w:rsid w:val="17275E00"/>
    <w:rsid w:val="175965F5"/>
    <w:rsid w:val="177E1125"/>
    <w:rsid w:val="178D7F71"/>
    <w:rsid w:val="17AF6237"/>
    <w:rsid w:val="17DA591D"/>
    <w:rsid w:val="17FF4999"/>
    <w:rsid w:val="1830600E"/>
    <w:rsid w:val="18915230"/>
    <w:rsid w:val="18B61883"/>
    <w:rsid w:val="18FC34F8"/>
    <w:rsid w:val="190A6A57"/>
    <w:rsid w:val="19191116"/>
    <w:rsid w:val="19447EB2"/>
    <w:rsid w:val="19792523"/>
    <w:rsid w:val="19B42977"/>
    <w:rsid w:val="19C37B03"/>
    <w:rsid w:val="1A2D129C"/>
    <w:rsid w:val="1A301E5C"/>
    <w:rsid w:val="1A4E6151"/>
    <w:rsid w:val="1A5F1566"/>
    <w:rsid w:val="1AA1145C"/>
    <w:rsid w:val="1AA70D3B"/>
    <w:rsid w:val="1B22513F"/>
    <w:rsid w:val="1B4C07B5"/>
    <w:rsid w:val="1B5B1AEC"/>
    <w:rsid w:val="1B635C83"/>
    <w:rsid w:val="1B6C25E8"/>
    <w:rsid w:val="1B73190C"/>
    <w:rsid w:val="1B793426"/>
    <w:rsid w:val="1B7F4A7D"/>
    <w:rsid w:val="1B8A2061"/>
    <w:rsid w:val="1BDA5C1E"/>
    <w:rsid w:val="1BF01F44"/>
    <w:rsid w:val="1BFA0C60"/>
    <w:rsid w:val="1C056F8F"/>
    <w:rsid w:val="1C234EE8"/>
    <w:rsid w:val="1C245D07"/>
    <w:rsid w:val="1C320331"/>
    <w:rsid w:val="1C356958"/>
    <w:rsid w:val="1C75128E"/>
    <w:rsid w:val="1CA9019C"/>
    <w:rsid w:val="1CAF18A4"/>
    <w:rsid w:val="1CC400CD"/>
    <w:rsid w:val="1CC71098"/>
    <w:rsid w:val="1CCE4CB0"/>
    <w:rsid w:val="1CE73BCD"/>
    <w:rsid w:val="1CE87C26"/>
    <w:rsid w:val="1D1D291B"/>
    <w:rsid w:val="1D2C3A1A"/>
    <w:rsid w:val="1D41234E"/>
    <w:rsid w:val="1D5755D8"/>
    <w:rsid w:val="1DCC34E5"/>
    <w:rsid w:val="1DF12F4A"/>
    <w:rsid w:val="1DFF58CB"/>
    <w:rsid w:val="1E0C4D92"/>
    <w:rsid w:val="1E2B492A"/>
    <w:rsid w:val="1E703940"/>
    <w:rsid w:val="1E842EE0"/>
    <w:rsid w:val="1E8A301C"/>
    <w:rsid w:val="1E9A1092"/>
    <w:rsid w:val="1EA5131C"/>
    <w:rsid w:val="1EBE433E"/>
    <w:rsid w:val="1F2351FB"/>
    <w:rsid w:val="1F403CCE"/>
    <w:rsid w:val="1FB524E8"/>
    <w:rsid w:val="1FD40B60"/>
    <w:rsid w:val="1FDE5CF0"/>
    <w:rsid w:val="1FEB3CDD"/>
    <w:rsid w:val="1FF04DA1"/>
    <w:rsid w:val="20121BC9"/>
    <w:rsid w:val="201575E8"/>
    <w:rsid w:val="202B4648"/>
    <w:rsid w:val="204A3E68"/>
    <w:rsid w:val="20577738"/>
    <w:rsid w:val="20834DEC"/>
    <w:rsid w:val="20991C3F"/>
    <w:rsid w:val="21150BEF"/>
    <w:rsid w:val="211A1A71"/>
    <w:rsid w:val="21325170"/>
    <w:rsid w:val="21BE07D1"/>
    <w:rsid w:val="21E277CA"/>
    <w:rsid w:val="21FE7B36"/>
    <w:rsid w:val="222F29F8"/>
    <w:rsid w:val="22330895"/>
    <w:rsid w:val="22385E79"/>
    <w:rsid w:val="22460B28"/>
    <w:rsid w:val="224D73DC"/>
    <w:rsid w:val="226E3446"/>
    <w:rsid w:val="22A13519"/>
    <w:rsid w:val="22C54E5E"/>
    <w:rsid w:val="22CD57C2"/>
    <w:rsid w:val="22F94667"/>
    <w:rsid w:val="23001A71"/>
    <w:rsid w:val="23050ED0"/>
    <w:rsid w:val="23057C2E"/>
    <w:rsid w:val="231425C7"/>
    <w:rsid w:val="23172972"/>
    <w:rsid w:val="23223DC5"/>
    <w:rsid w:val="2325645C"/>
    <w:rsid w:val="23722CB0"/>
    <w:rsid w:val="239133C6"/>
    <w:rsid w:val="23C55E21"/>
    <w:rsid w:val="23D436D9"/>
    <w:rsid w:val="23D86C07"/>
    <w:rsid w:val="23FC5212"/>
    <w:rsid w:val="23FF6960"/>
    <w:rsid w:val="242330D6"/>
    <w:rsid w:val="2439048F"/>
    <w:rsid w:val="24505AF8"/>
    <w:rsid w:val="2460452B"/>
    <w:rsid w:val="24992C3F"/>
    <w:rsid w:val="24A2263B"/>
    <w:rsid w:val="24E70DDF"/>
    <w:rsid w:val="25C35B35"/>
    <w:rsid w:val="25D33997"/>
    <w:rsid w:val="260C58C5"/>
    <w:rsid w:val="261F28E2"/>
    <w:rsid w:val="26525ABF"/>
    <w:rsid w:val="26871BB0"/>
    <w:rsid w:val="26A20621"/>
    <w:rsid w:val="26A2570F"/>
    <w:rsid w:val="26BB7BE9"/>
    <w:rsid w:val="26C41B0C"/>
    <w:rsid w:val="26E37853"/>
    <w:rsid w:val="26EC6E10"/>
    <w:rsid w:val="272418A0"/>
    <w:rsid w:val="27326E8F"/>
    <w:rsid w:val="2737620D"/>
    <w:rsid w:val="275C284F"/>
    <w:rsid w:val="278712D9"/>
    <w:rsid w:val="278A7B60"/>
    <w:rsid w:val="27947308"/>
    <w:rsid w:val="27AB1068"/>
    <w:rsid w:val="27E951EF"/>
    <w:rsid w:val="27EF3921"/>
    <w:rsid w:val="27F97D3B"/>
    <w:rsid w:val="282316C9"/>
    <w:rsid w:val="282A3BFC"/>
    <w:rsid w:val="285577BE"/>
    <w:rsid w:val="286C6EC7"/>
    <w:rsid w:val="2889463D"/>
    <w:rsid w:val="289C0A2E"/>
    <w:rsid w:val="28B10F4D"/>
    <w:rsid w:val="28BC2993"/>
    <w:rsid w:val="28E2106E"/>
    <w:rsid w:val="28EB4FE6"/>
    <w:rsid w:val="297B73A0"/>
    <w:rsid w:val="29A72E14"/>
    <w:rsid w:val="29C86F3D"/>
    <w:rsid w:val="29D302E5"/>
    <w:rsid w:val="2A0D2B92"/>
    <w:rsid w:val="2A5D2FF9"/>
    <w:rsid w:val="2A6162EF"/>
    <w:rsid w:val="2A664904"/>
    <w:rsid w:val="2A6C0C25"/>
    <w:rsid w:val="2A712586"/>
    <w:rsid w:val="2A755A43"/>
    <w:rsid w:val="2A97239D"/>
    <w:rsid w:val="2AA16B48"/>
    <w:rsid w:val="2ABA0F1B"/>
    <w:rsid w:val="2B201F47"/>
    <w:rsid w:val="2B242CD3"/>
    <w:rsid w:val="2B3710B5"/>
    <w:rsid w:val="2B412E48"/>
    <w:rsid w:val="2B6A7F95"/>
    <w:rsid w:val="2B8708F9"/>
    <w:rsid w:val="2BA256D9"/>
    <w:rsid w:val="2BC035D5"/>
    <w:rsid w:val="2C57676C"/>
    <w:rsid w:val="2CA5685F"/>
    <w:rsid w:val="2CAB2AC9"/>
    <w:rsid w:val="2CB61E4C"/>
    <w:rsid w:val="2CD72ACE"/>
    <w:rsid w:val="2D381B6C"/>
    <w:rsid w:val="2D443AE2"/>
    <w:rsid w:val="2D550BC5"/>
    <w:rsid w:val="2D927047"/>
    <w:rsid w:val="2DE81A7A"/>
    <w:rsid w:val="2E0462A7"/>
    <w:rsid w:val="2E102FEF"/>
    <w:rsid w:val="2E426AFA"/>
    <w:rsid w:val="2E61169F"/>
    <w:rsid w:val="2E940CC0"/>
    <w:rsid w:val="2EAB555B"/>
    <w:rsid w:val="2ED836EE"/>
    <w:rsid w:val="2EE44695"/>
    <w:rsid w:val="2F094A45"/>
    <w:rsid w:val="2F1544E7"/>
    <w:rsid w:val="2F193858"/>
    <w:rsid w:val="2F334C96"/>
    <w:rsid w:val="2F353E8D"/>
    <w:rsid w:val="2F3F322C"/>
    <w:rsid w:val="2F6C3E75"/>
    <w:rsid w:val="2FE52AED"/>
    <w:rsid w:val="2FF06294"/>
    <w:rsid w:val="2FF9135A"/>
    <w:rsid w:val="30194267"/>
    <w:rsid w:val="307C78BB"/>
    <w:rsid w:val="308E5FDF"/>
    <w:rsid w:val="31242B8D"/>
    <w:rsid w:val="31302D16"/>
    <w:rsid w:val="3163392E"/>
    <w:rsid w:val="318601E9"/>
    <w:rsid w:val="318775EE"/>
    <w:rsid w:val="319E0A3B"/>
    <w:rsid w:val="31C83110"/>
    <w:rsid w:val="31DA6514"/>
    <w:rsid w:val="320F1124"/>
    <w:rsid w:val="323F314C"/>
    <w:rsid w:val="32467875"/>
    <w:rsid w:val="325C2D76"/>
    <w:rsid w:val="326D70CA"/>
    <w:rsid w:val="32B154F8"/>
    <w:rsid w:val="32C246E2"/>
    <w:rsid w:val="32E234E1"/>
    <w:rsid w:val="331F61F8"/>
    <w:rsid w:val="33231DE6"/>
    <w:rsid w:val="335D1D86"/>
    <w:rsid w:val="33742B4B"/>
    <w:rsid w:val="33A849E6"/>
    <w:rsid w:val="33AD0C9D"/>
    <w:rsid w:val="33D103B1"/>
    <w:rsid w:val="33FC6D82"/>
    <w:rsid w:val="34053519"/>
    <w:rsid w:val="34087518"/>
    <w:rsid w:val="340925AB"/>
    <w:rsid w:val="34231E05"/>
    <w:rsid w:val="343972C8"/>
    <w:rsid w:val="345538E9"/>
    <w:rsid w:val="34613CC5"/>
    <w:rsid w:val="34664267"/>
    <w:rsid w:val="346B074E"/>
    <w:rsid w:val="34802039"/>
    <w:rsid w:val="34A35E09"/>
    <w:rsid w:val="34A94975"/>
    <w:rsid w:val="34C54DB9"/>
    <w:rsid w:val="34E16E3E"/>
    <w:rsid w:val="34E7754B"/>
    <w:rsid w:val="34EA0F65"/>
    <w:rsid w:val="351E408A"/>
    <w:rsid w:val="35257281"/>
    <w:rsid w:val="35277C4C"/>
    <w:rsid w:val="3544100D"/>
    <w:rsid w:val="35666732"/>
    <w:rsid w:val="356A3CB3"/>
    <w:rsid w:val="356A5601"/>
    <w:rsid w:val="35A26587"/>
    <w:rsid w:val="35A6772E"/>
    <w:rsid w:val="35D02FEC"/>
    <w:rsid w:val="35FD2EFD"/>
    <w:rsid w:val="36195212"/>
    <w:rsid w:val="361C110A"/>
    <w:rsid w:val="364B2626"/>
    <w:rsid w:val="366B0451"/>
    <w:rsid w:val="366C04F3"/>
    <w:rsid w:val="3683705A"/>
    <w:rsid w:val="36B030B4"/>
    <w:rsid w:val="36FD139B"/>
    <w:rsid w:val="37CC53A3"/>
    <w:rsid w:val="381F5C4D"/>
    <w:rsid w:val="384C35CB"/>
    <w:rsid w:val="38503D28"/>
    <w:rsid w:val="38560A62"/>
    <w:rsid w:val="3858063B"/>
    <w:rsid w:val="38B42EB2"/>
    <w:rsid w:val="38C349B5"/>
    <w:rsid w:val="38C84D75"/>
    <w:rsid w:val="39041AA3"/>
    <w:rsid w:val="39175033"/>
    <w:rsid w:val="391D54BB"/>
    <w:rsid w:val="393B6A45"/>
    <w:rsid w:val="39432D0B"/>
    <w:rsid w:val="39527D99"/>
    <w:rsid w:val="3957061E"/>
    <w:rsid w:val="39661607"/>
    <w:rsid w:val="397B0031"/>
    <w:rsid w:val="397F1A92"/>
    <w:rsid w:val="39884C68"/>
    <w:rsid w:val="39AA29DA"/>
    <w:rsid w:val="39F2755C"/>
    <w:rsid w:val="3A191FB3"/>
    <w:rsid w:val="3A323E9A"/>
    <w:rsid w:val="3A6A56FC"/>
    <w:rsid w:val="3A890E3F"/>
    <w:rsid w:val="3A8922DA"/>
    <w:rsid w:val="3A986C86"/>
    <w:rsid w:val="3AE6339B"/>
    <w:rsid w:val="3AEE6678"/>
    <w:rsid w:val="3AFB0399"/>
    <w:rsid w:val="3B8662B0"/>
    <w:rsid w:val="3B9C51AC"/>
    <w:rsid w:val="3BBA3EDF"/>
    <w:rsid w:val="3BC15FAF"/>
    <w:rsid w:val="3BF647A8"/>
    <w:rsid w:val="3BFB45AA"/>
    <w:rsid w:val="3C0B32C7"/>
    <w:rsid w:val="3C4D1E9A"/>
    <w:rsid w:val="3C536F45"/>
    <w:rsid w:val="3C5D698E"/>
    <w:rsid w:val="3C8B0A00"/>
    <w:rsid w:val="3CE33DAB"/>
    <w:rsid w:val="3CE402F5"/>
    <w:rsid w:val="3CFC5802"/>
    <w:rsid w:val="3D0F647E"/>
    <w:rsid w:val="3D1A706D"/>
    <w:rsid w:val="3D3A4960"/>
    <w:rsid w:val="3DC24C8F"/>
    <w:rsid w:val="3DE6636B"/>
    <w:rsid w:val="3DEC03E6"/>
    <w:rsid w:val="3E151F4C"/>
    <w:rsid w:val="3E261B4C"/>
    <w:rsid w:val="3E622282"/>
    <w:rsid w:val="3EA04D2D"/>
    <w:rsid w:val="3EB45BDF"/>
    <w:rsid w:val="3EC74A0D"/>
    <w:rsid w:val="3ED033BC"/>
    <w:rsid w:val="3F0E4AA7"/>
    <w:rsid w:val="3F1D1FCC"/>
    <w:rsid w:val="3F27456A"/>
    <w:rsid w:val="3F2E427C"/>
    <w:rsid w:val="3F2F66E9"/>
    <w:rsid w:val="3F322E39"/>
    <w:rsid w:val="3F390BB5"/>
    <w:rsid w:val="3F714A10"/>
    <w:rsid w:val="3F8D754C"/>
    <w:rsid w:val="3FB378BB"/>
    <w:rsid w:val="3FC42A3E"/>
    <w:rsid w:val="3FE31D82"/>
    <w:rsid w:val="3FEE7226"/>
    <w:rsid w:val="3FF60A01"/>
    <w:rsid w:val="402D3364"/>
    <w:rsid w:val="40433886"/>
    <w:rsid w:val="40722C36"/>
    <w:rsid w:val="40ED2A87"/>
    <w:rsid w:val="40FD5F9C"/>
    <w:rsid w:val="41054C4F"/>
    <w:rsid w:val="41225E28"/>
    <w:rsid w:val="41311F7D"/>
    <w:rsid w:val="416370E6"/>
    <w:rsid w:val="41815267"/>
    <w:rsid w:val="419E41FD"/>
    <w:rsid w:val="41BD00BD"/>
    <w:rsid w:val="41C1720A"/>
    <w:rsid w:val="41DF7E68"/>
    <w:rsid w:val="422977E2"/>
    <w:rsid w:val="423B6BAC"/>
    <w:rsid w:val="425E2499"/>
    <w:rsid w:val="42805B2C"/>
    <w:rsid w:val="429016DA"/>
    <w:rsid w:val="42BB718B"/>
    <w:rsid w:val="42DC7FA5"/>
    <w:rsid w:val="42E23A23"/>
    <w:rsid w:val="42EE08A0"/>
    <w:rsid w:val="42F8391A"/>
    <w:rsid w:val="42FF2220"/>
    <w:rsid w:val="43002024"/>
    <w:rsid w:val="43552C4C"/>
    <w:rsid w:val="43606EE8"/>
    <w:rsid w:val="4368255F"/>
    <w:rsid w:val="43CD2A6A"/>
    <w:rsid w:val="43D34484"/>
    <w:rsid w:val="43E375FA"/>
    <w:rsid w:val="442F23EA"/>
    <w:rsid w:val="44387B6B"/>
    <w:rsid w:val="446813A6"/>
    <w:rsid w:val="44905E4F"/>
    <w:rsid w:val="44B25954"/>
    <w:rsid w:val="44B353F1"/>
    <w:rsid w:val="44C70D28"/>
    <w:rsid w:val="44E43637"/>
    <w:rsid w:val="451B4B19"/>
    <w:rsid w:val="451B643C"/>
    <w:rsid w:val="452E317F"/>
    <w:rsid w:val="45400BC0"/>
    <w:rsid w:val="45804ABC"/>
    <w:rsid w:val="459C30AC"/>
    <w:rsid w:val="45A240C0"/>
    <w:rsid w:val="45C513D8"/>
    <w:rsid w:val="45CD39B6"/>
    <w:rsid w:val="45D077D4"/>
    <w:rsid w:val="45D804F3"/>
    <w:rsid w:val="46264080"/>
    <w:rsid w:val="46303BED"/>
    <w:rsid w:val="46464040"/>
    <w:rsid w:val="46BE38F9"/>
    <w:rsid w:val="46C30C73"/>
    <w:rsid w:val="46C86EBD"/>
    <w:rsid w:val="46C9461B"/>
    <w:rsid w:val="46F22FE0"/>
    <w:rsid w:val="470353E8"/>
    <w:rsid w:val="470B3C00"/>
    <w:rsid w:val="474642EB"/>
    <w:rsid w:val="47667359"/>
    <w:rsid w:val="477A66C7"/>
    <w:rsid w:val="47F76470"/>
    <w:rsid w:val="48052A48"/>
    <w:rsid w:val="48276360"/>
    <w:rsid w:val="48340765"/>
    <w:rsid w:val="486E3D48"/>
    <w:rsid w:val="487E02E7"/>
    <w:rsid w:val="48873779"/>
    <w:rsid w:val="48A26C6C"/>
    <w:rsid w:val="48B84574"/>
    <w:rsid w:val="48F15DFA"/>
    <w:rsid w:val="491444D0"/>
    <w:rsid w:val="492C6E96"/>
    <w:rsid w:val="497870AA"/>
    <w:rsid w:val="49871008"/>
    <w:rsid w:val="49925B21"/>
    <w:rsid w:val="49D03A99"/>
    <w:rsid w:val="4A125FD0"/>
    <w:rsid w:val="4A1D6721"/>
    <w:rsid w:val="4A870A21"/>
    <w:rsid w:val="4A9455DF"/>
    <w:rsid w:val="4AAE33D4"/>
    <w:rsid w:val="4ABE3D01"/>
    <w:rsid w:val="4AC6435A"/>
    <w:rsid w:val="4AD41EBE"/>
    <w:rsid w:val="4AF733EF"/>
    <w:rsid w:val="4B02722E"/>
    <w:rsid w:val="4B0F7302"/>
    <w:rsid w:val="4B2A5E61"/>
    <w:rsid w:val="4B4A3500"/>
    <w:rsid w:val="4B5A73D8"/>
    <w:rsid w:val="4B7E1EBA"/>
    <w:rsid w:val="4B811BB5"/>
    <w:rsid w:val="4BE118E0"/>
    <w:rsid w:val="4C1A535D"/>
    <w:rsid w:val="4C2941CA"/>
    <w:rsid w:val="4C310DE1"/>
    <w:rsid w:val="4C434AF6"/>
    <w:rsid w:val="4C5E0A37"/>
    <w:rsid w:val="4C8C7123"/>
    <w:rsid w:val="4CBA6EF2"/>
    <w:rsid w:val="4CD73856"/>
    <w:rsid w:val="4CD841F0"/>
    <w:rsid w:val="4CD87782"/>
    <w:rsid w:val="4CF76CE2"/>
    <w:rsid w:val="4D1D0CE0"/>
    <w:rsid w:val="4D21105D"/>
    <w:rsid w:val="4D2867F3"/>
    <w:rsid w:val="4D434CA6"/>
    <w:rsid w:val="4D776DC3"/>
    <w:rsid w:val="4D781B23"/>
    <w:rsid w:val="4D7C556B"/>
    <w:rsid w:val="4D9E6B94"/>
    <w:rsid w:val="4DF70B53"/>
    <w:rsid w:val="4DFD3850"/>
    <w:rsid w:val="4E2E3CA5"/>
    <w:rsid w:val="4E4E54E2"/>
    <w:rsid w:val="4ECF08DB"/>
    <w:rsid w:val="4EEF6956"/>
    <w:rsid w:val="4EF10F50"/>
    <w:rsid w:val="4F5A7968"/>
    <w:rsid w:val="4F5B1C3D"/>
    <w:rsid w:val="4F7933F9"/>
    <w:rsid w:val="4FB62175"/>
    <w:rsid w:val="4FC06171"/>
    <w:rsid w:val="4FCC0EB9"/>
    <w:rsid w:val="4FE80051"/>
    <w:rsid w:val="503839AD"/>
    <w:rsid w:val="50573316"/>
    <w:rsid w:val="50C46433"/>
    <w:rsid w:val="50C515FE"/>
    <w:rsid w:val="50CA1F64"/>
    <w:rsid w:val="50D540CE"/>
    <w:rsid w:val="51175815"/>
    <w:rsid w:val="5124788D"/>
    <w:rsid w:val="512F4B55"/>
    <w:rsid w:val="5141387C"/>
    <w:rsid w:val="51457246"/>
    <w:rsid w:val="515F7EA6"/>
    <w:rsid w:val="51654AF5"/>
    <w:rsid w:val="516774DC"/>
    <w:rsid w:val="51826C8A"/>
    <w:rsid w:val="51833B38"/>
    <w:rsid w:val="5186439F"/>
    <w:rsid w:val="51887C28"/>
    <w:rsid w:val="51B33439"/>
    <w:rsid w:val="51EE068B"/>
    <w:rsid w:val="52324D19"/>
    <w:rsid w:val="52463294"/>
    <w:rsid w:val="52473222"/>
    <w:rsid w:val="524C1ED0"/>
    <w:rsid w:val="52644D63"/>
    <w:rsid w:val="52733E63"/>
    <w:rsid w:val="527A6198"/>
    <w:rsid w:val="52905523"/>
    <w:rsid w:val="529E29B3"/>
    <w:rsid w:val="52A27619"/>
    <w:rsid w:val="52A65E42"/>
    <w:rsid w:val="52AE380A"/>
    <w:rsid w:val="532A2CA5"/>
    <w:rsid w:val="534701F9"/>
    <w:rsid w:val="5347639A"/>
    <w:rsid w:val="534E4739"/>
    <w:rsid w:val="53976DBB"/>
    <w:rsid w:val="53C548B5"/>
    <w:rsid w:val="53C620AB"/>
    <w:rsid w:val="53C87335"/>
    <w:rsid w:val="540D2DB1"/>
    <w:rsid w:val="54832891"/>
    <w:rsid w:val="55093E22"/>
    <w:rsid w:val="553779C7"/>
    <w:rsid w:val="558F42FA"/>
    <w:rsid w:val="559D7F69"/>
    <w:rsid w:val="55CB1CAC"/>
    <w:rsid w:val="55EE45E5"/>
    <w:rsid w:val="55F06AD7"/>
    <w:rsid w:val="55FD3919"/>
    <w:rsid w:val="561373FD"/>
    <w:rsid w:val="56193D4F"/>
    <w:rsid w:val="56216989"/>
    <w:rsid w:val="563A00F5"/>
    <w:rsid w:val="56587F76"/>
    <w:rsid w:val="56674043"/>
    <w:rsid w:val="56A16F5C"/>
    <w:rsid w:val="56A77B0A"/>
    <w:rsid w:val="56B377CC"/>
    <w:rsid w:val="56B50793"/>
    <w:rsid w:val="56D42BF7"/>
    <w:rsid w:val="56DC24E9"/>
    <w:rsid w:val="56DC7D13"/>
    <w:rsid w:val="57211E57"/>
    <w:rsid w:val="57594198"/>
    <w:rsid w:val="5772015C"/>
    <w:rsid w:val="577838C7"/>
    <w:rsid w:val="5789721E"/>
    <w:rsid w:val="57AA2842"/>
    <w:rsid w:val="57F85283"/>
    <w:rsid w:val="57F86A47"/>
    <w:rsid w:val="57F9642A"/>
    <w:rsid w:val="581669AF"/>
    <w:rsid w:val="582A6F6D"/>
    <w:rsid w:val="582B2F6A"/>
    <w:rsid w:val="58D10224"/>
    <w:rsid w:val="5908601B"/>
    <w:rsid w:val="594A1C1F"/>
    <w:rsid w:val="59532A0D"/>
    <w:rsid w:val="5954755D"/>
    <w:rsid w:val="59826013"/>
    <w:rsid w:val="59E268FB"/>
    <w:rsid w:val="59EF438D"/>
    <w:rsid w:val="59F43F0D"/>
    <w:rsid w:val="5A082B87"/>
    <w:rsid w:val="5A0D6A16"/>
    <w:rsid w:val="5A2B68D2"/>
    <w:rsid w:val="5A326865"/>
    <w:rsid w:val="5A3D0457"/>
    <w:rsid w:val="5A460A5D"/>
    <w:rsid w:val="5A4D110B"/>
    <w:rsid w:val="5A786A7F"/>
    <w:rsid w:val="5AB14A31"/>
    <w:rsid w:val="5ADB234C"/>
    <w:rsid w:val="5AFB28C7"/>
    <w:rsid w:val="5B006684"/>
    <w:rsid w:val="5B242100"/>
    <w:rsid w:val="5B2E7EB2"/>
    <w:rsid w:val="5B403041"/>
    <w:rsid w:val="5B506AC3"/>
    <w:rsid w:val="5B7979DB"/>
    <w:rsid w:val="5BFA1654"/>
    <w:rsid w:val="5C1C410E"/>
    <w:rsid w:val="5C2F7B0C"/>
    <w:rsid w:val="5C3D01F5"/>
    <w:rsid w:val="5CBA69D3"/>
    <w:rsid w:val="5CCC2C10"/>
    <w:rsid w:val="5CD03A5B"/>
    <w:rsid w:val="5D002075"/>
    <w:rsid w:val="5D041DC0"/>
    <w:rsid w:val="5D155469"/>
    <w:rsid w:val="5D1B79E4"/>
    <w:rsid w:val="5DA12B26"/>
    <w:rsid w:val="5DBC3CC1"/>
    <w:rsid w:val="5DCD469A"/>
    <w:rsid w:val="5E0914A4"/>
    <w:rsid w:val="5E2A2E3B"/>
    <w:rsid w:val="5E50761C"/>
    <w:rsid w:val="5E811127"/>
    <w:rsid w:val="5E857C28"/>
    <w:rsid w:val="5E894506"/>
    <w:rsid w:val="5ECB7BF2"/>
    <w:rsid w:val="5ED939A5"/>
    <w:rsid w:val="5F1B18E3"/>
    <w:rsid w:val="5F200FB0"/>
    <w:rsid w:val="5F217C35"/>
    <w:rsid w:val="5F2E502C"/>
    <w:rsid w:val="5F5C1712"/>
    <w:rsid w:val="5F6A6E3A"/>
    <w:rsid w:val="5F817E11"/>
    <w:rsid w:val="5F8E78F8"/>
    <w:rsid w:val="5F907C51"/>
    <w:rsid w:val="5FC6630C"/>
    <w:rsid w:val="60351F96"/>
    <w:rsid w:val="604D59E9"/>
    <w:rsid w:val="606E27EE"/>
    <w:rsid w:val="60806EBC"/>
    <w:rsid w:val="60AD295E"/>
    <w:rsid w:val="60E371C0"/>
    <w:rsid w:val="60EE3ACD"/>
    <w:rsid w:val="61543211"/>
    <w:rsid w:val="6164018B"/>
    <w:rsid w:val="61B8433A"/>
    <w:rsid w:val="61B85B31"/>
    <w:rsid w:val="61DF63A8"/>
    <w:rsid w:val="61EB62CC"/>
    <w:rsid w:val="621D2306"/>
    <w:rsid w:val="621E05EF"/>
    <w:rsid w:val="62307DA0"/>
    <w:rsid w:val="62601E8F"/>
    <w:rsid w:val="62690F67"/>
    <w:rsid w:val="626C2008"/>
    <w:rsid w:val="6277447D"/>
    <w:rsid w:val="62990512"/>
    <w:rsid w:val="63647B9E"/>
    <w:rsid w:val="637C7089"/>
    <w:rsid w:val="63905FCF"/>
    <w:rsid w:val="63CA29B9"/>
    <w:rsid w:val="63D3253C"/>
    <w:rsid w:val="63D83594"/>
    <w:rsid w:val="640A6014"/>
    <w:rsid w:val="64307255"/>
    <w:rsid w:val="64410116"/>
    <w:rsid w:val="64412FC5"/>
    <w:rsid w:val="647543A4"/>
    <w:rsid w:val="64830353"/>
    <w:rsid w:val="64BD7A01"/>
    <w:rsid w:val="64D054CC"/>
    <w:rsid w:val="64FA4141"/>
    <w:rsid w:val="656A573C"/>
    <w:rsid w:val="65734120"/>
    <w:rsid w:val="65A60680"/>
    <w:rsid w:val="65D13721"/>
    <w:rsid w:val="66497B34"/>
    <w:rsid w:val="66843C27"/>
    <w:rsid w:val="66C6028C"/>
    <w:rsid w:val="66EA62EA"/>
    <w:rsid w:val="66F339D6"/>
    <w:rsid w:val="66F6347F"/>
    <w:rsid w:val="66FE30D6"/>
    <w:rsid w:val="675B6F05"/>
    <w:rsid w:val="67B34CC7"/>
    <w:rsid w:val="67E851F1"/>
    <w:rsid w:val="67F8136D"/>
    <w:rsid w:val="680637ED"/>
    <w:rsid w:val="682148A7"/>
    <w:rsid w:val="682230A6"/>
    <w:rsid w:val="686B70BC"/>
    <w:rsid w:val="68847A53"/>
    <w:rsid w:val="68923358"/>
    <w:rsid w:val="68A4412F"/>
    <w:rsid w:val="68DE3035"/>
    <w:rsid w:val="69016C31"/>
    <w:rsid w:val="69030DDF"/>
    <w:rsid w:val="69100F86"/>
    <w:rsid w:val="693D1E5D"/>
    <w:rsid w:val="69611825"/>
    <w:rsid w:val="69797C2C"/>
    <w:rsid w:val="69823C91"/>
    <w:rsid w:val="6985143F"/>
    <w:rsid w:val="69C5778C"/>
    <w:rsid w:val="69DB628A"/>
    <w:rsid w:val="69EA73F6"/>
    <w:rsid w:val="6A074990"/>
    <w:rsid w:val="6A4E63D2"/>
    <w:rsid w:val="6A6E2DE8"/>
    <w:rsid w:val="6A6E6257"/>
    <w:rsid w:val="6A8B0E18"/>
    <w:rsid w:val="6A934155"/>
    <w:rsid w:val="6AC6240D"/>
    <w:rsid w:val="6B0B5CAC"/>
    <w:rsid w:val="6B0F3B52"/>
    <w:rsid w:val="6B1362E2"/>
    <w:rsid w:val="6B4C5F2C"/>
    <w:rsid w:val="6B6C1C7F"/>
    <w:rsid w:val="6B731EFB"/>
    <w:rsid w:val="6B8019CD"/>
    <w:rsid w:val="6B877640"/>
    <w:rsid w:val="6B932470"/>
    <w:rsid w:val="6BB4311A"/>
    <w:rsid w:val="6C1E00B5"/>
    <w:rsid w:val="6C321608"/>
    <w:rsid w:val="6C3F4DC9"/>
    <w:rsid w:val="6C404FA0"/>
    <w:rsid w:val="6C5343CE"/>
    <w:rsid w:val="6C9D754B"/>
    <w:rsid w:val="6CDE2F83"/>
    <w:rsid w:val="6CE97F64"/>
    <w:rsid w:val="6D27603C"/>
    <w:rsid w:val="6D51581D"/>
    <w:rsid w:val="6D564DD4"/>
    <w:rsid w:val="6D865850"/>
    <w:rsid w:val="6D967A6A"/>
    <w:rsid w:val="6DA5572F"/>
    <w:rsid w:val="6DB1047A"/>
    <w:rsid w:val="6DD63486"/>
    <w:rsid w:val="6E145A7C"/>
    <w:rsid w:val="6E511E37"/>
    <w:rsid w:val="6E6A4764"/>
    <w:rsid w:val="6E7F25F3"/>
    <w:rsid w:val="6E9821A1"/>
    <w:rsid w:val="6ED9051F"/>
    <w:rsid w:val="6EF75AB9"/>
    <w:rsid w:val="6EF76E3B"/>
    <w:rsid w:val="6F581D10"/>
    <w:rsid w:val="6F652F01"/>
    <w:rsid w:val="6F716614"/>
    <w:rsid w:val="6F872C59"/>
    <w:rsid w:val="6FAA3674"/>
    <w:rsid w:val="6FF50A29"/>
    <w:rsid w:val="70052F32"/>
    <w:rsid w:val="701204CC"/>
    <w:rsid w:val="7020205F"/>
    <w:rsid w:val="706D4E67"/>
    <w:rsid w:val="70910274"/>
    <w:rsid w:val="70A56B65"/>
    <w:rsid w:val="70AA5DC7"/>
    <w:rsid w:val="70B54A22"/>
    <w:rsid w:val="70B8391A"/>
    <w:rsid w:val="70CA6991"/>
    <w:rsid w:val="70D55D00"/>
    <w:rsid w:val="7100273B"/>
    <w:rsid w:val="711079F2"/>
    <w:rsid w:val="716213EE"/>
    <w:rsid w:val="718928BF"/>
    <w:rsid w:val="719642B8"/>
    <w:rsid w:val="71C4461A"/>
    <w:rsid w:val="71CF00C9"/>
    <w:rsid w:val="71D85B53"/>
    <w:rsid w:val="720573B8"/>
    <w:rsid w:val="72100473"/>
    <w:rsid w:val="72317074"/>
    <w:rsid w:val="724D3F2E"/>
    <w:rsid w:val="72771D81"/>
    <w:rsid w:val="728C3749"/>
    <w:rsid w:val="72A73849"/>
    <w:rsid w:val="72DA0DAE"/>
    <w:rsid w:val="72DA6D01"/>
    <w:rsid w:val="72E626F5"/>
    <w:rsid w:val="72F7152C"/>
    <w:rsid w:val="73017070"/>
    <w:rsid w:val="73226E0E"/>
    <w:rsid w:val="7324716A"/>
    <w:rsid w:val="734A0734"/>
    <w:rsid w:val="7377095A"/>
    <w:rsid w:val="73937D3A"/>
    <w:rsid w:val="73AB38B5"/>
    <w:rsid w:val="73D96E53"/>
    <w:rsid w:val="73E6024C"/>
    <w:rsid w:val="73F34C83"/>
    <w:rsid w:val="73F92E98"/>
    <w:rsid w:val="73FD54A2"/>
    <w:rsid w:val="740A563F"/>
    <w:rsid w:val="74107352"/>
    <w:rsid w:val="743D7356"/>
    <w:rsid w:val="744E2F5E"/>
    <w:rsid w:val="74601BD6"/>
    <w:rsid w:val="74822038"/>
    <w:rsid w:val="74D1200C"/>
    <w:rsid w:val="751A4786"/>
    <w:rsid w:val="75253501"/>
    <w:rsid w:val="752A2E6A"/>
    <w:rsid w:val="754816B4"/>
    <w:rsid w:val="757C6C5E"/>
    <w:rsid w:val="759E4EA7"/>
    <w:rsid w:val="75B13D16"/>
    <w:rsid w:val="75BF4B25"/>
    <w:rsid w:val="75D87B50"/>
    <w:rsid w:val="75DB4086"/>
    <w:rsid w:val="75E417B2"/>
    <w:rsid w:val="760A02C0"/>
    <w:rsid w:val="763F24DF"/>
    <w:rsid w:val="769F6C8C"/>
    <w:rsid w:val="76A0160E"/>
    <w:rsid w:val="76A47083"/>
    <w:rsid w:val="76DE282F"/>
    <w:rsid w:val="76E61D96"/>
    <w:rsid w:val="76FF797E"/>
    <w:rsid w:val="77837BFC"/>
    <w:rsid w:val="77872A68"/>
    <w:rsid w:val="77B63286"/>
    <w:rsid w:val="77D21DF6"/>
    <w:rsid w:val="77E745E9"/>
    <w:rsid w:val="77FC0252"/>
    <w:rsid w:val="78106987"/>
    <w:rsid w:val="7841295F"/>
    <w:rsid w:val="78981E14"/>
    <w:rsid w:val="78A77216"/>
    <w:rsid w:val="790A5D98"/>
    <w:rsid w:val="793E418E"/>
    <w:rsid w:val="794E6DA1"/>
    <w:rsid w:val="794F49D1"/>
    <w:rsid w:val="799E0C2B"/>
    <w:rsid w:val="79A929AF"/>
    <w:rsid w:val="79D9036F"/>
    <w:rsid w:val="79E32C7B"/>
    <w:rsid w:val="7A0465C2"/>
    <w:rsid w:val="7A0642D0"/>
    <w:rsid w:val="7A1E23CF"/>
    <w:rsid w:val="7A1F0B92"/>
    <w:rsid w:val="7A2A0FBE"/>
    <w:rsid w:val="7A2F0FE2"/>
    <w:rsid w:val="7A5835D6"/>
    <w:rsid w:val="7A641499"/>
    <w:rsid w:val="7A667399"/>
    <w:rsid w:val="7A8A622B"/>
    <w:rsid w:val="7A9B5412"/>
    <w:rsid w:val="7AAB62F3"/>
    <w:rsid w:val="7AD83D61"/>
    <w:rsid w:val="7AF038BB"/>
    <w:rsid w:val="7B0A537E"/>
    <w:rsid w:val="7B127C9A"/>
    <w:rsid w:val="7B3B4883"/>
    <w:rsid w:val="7B77268D"/>
    <w:rsid w:val="7B9C673F"/>
    <w:rsid w:val="7BAE536B"/>
    <w:rsid w:val="7BAF16A0"/>
    <w:rsid w:val="7BDA378E"/>
    <w:rsid w:val="7BDD6A66"/>
    <w:rsid w:val="7BE7137F"/>
    <w:rsid w:val="7BED625D"/>
    <w:rsid w:val="7C41053C"/>
    <w:rsid w:val="7C4A39E1"/>
    <w:rsid w:val="7C582A63"/>
    <w:rsid w:val="7CDF2E23"/>
    <w:rsid w:val="7D0B7F3A"/>
    <w:rsid w:val="7D18193F"/>
    <w:rsid w:val="7D1E4988"/>
    <w:rsid w:val="7D7D4343"/>
    <w:rsid w:val="7D7F68F5"/>
    <w:rsid w:val="7DB44B27"/>
    <w:rsid w:val="7DC15B96"/>
    <w:rsid w:val="7DCD00BC"/>
    <w:rsid w:val="7E195F2D"/>
    <w:rsid w:val="7E196EFB"/>
    <w:rsid w:val="7E6D403C"/>
    <w:rsid w:val="7EC27F8A"/>
    <w:rsid w:val="7EF34417"/>
    <w:rsid w:val="7F1A1208"/>
    <w:rsid w:val="7F1A430A"/>
    <w:rsid w:val="7F45160A"/>
    <w:rsid w:val="7F5C2611"/>
    <w:rsid w:val="7F9075B7"/>
    <w:rsid w:val="7FA64F76"/>
    <w:rsid w:val="7FC127F4"/>
    <w:rsid w:val="7FF4688D"/>
    <w:rsid w:val="7FF66C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4">
    <w:name w:val="text"/>
    <w:basedOn w:val="1"/>
    <w:qFormat/>
    <w:uiPriority w:val="0"/>
    <w:pPr>
      <w:spacing w:after="240"/>
    </w:pPr>
    <w:rPr>
      <w:rFonts w:ascii="Calibri" w:hAnsi="Calibri" w:eastAsia="宋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9A3DA0-5D23-4C87-904C-9C2EB1ABBDB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786</Words>
  <Characters>4482</Characters>
  <Lines>37</Lines>
  <Paragraphs>10</Paragraphs>
  <ScaleCrop>false</ScaleCrop>
  <LinksUpToDate>false</LinksUpToDate>
  <CharactersWithSpaces>5258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2018-05-11T03:42:28Z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